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0" w:rsidRDefault="0069776B" w:rsidP="002D1F40">
      <w:pPr>
        <w:spacing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sz w:val="16"/>
          <w:szCs w:val="16"/>
          <w:lang w:eastAsia="es-A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-385445</wp:posOffset>
            </wp:positionV>
            <wp:extent cx="4819650" cy="1046480"/>
            <wp:effectExtent l="19050" t="0" r="0" b="0"/>
            <wp:wrapSquare wrapText="bothSides"/>
            <wp:docPr id="1" name="0 Imagen" descr="HI - Caja Logos TDV 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 - Caja Logos TDV 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F40" w:rsidRPr="002D1F40" w:rsidRDefault="00F827ED" w:rsidP="002D1F40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F6221D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</w:t>
      </w:r>
      <w:r w:rsidR="002D1F40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9776B" w:rsidRDefault="0069776B">
      <w:pPr>
        <w:rPr>
          <w:rFonts w:ascii="Arial" w:hAnsi="Arial" w:cs="Arial"/>
          <w:sz w:val="32"/>
          <w:szCs w:val="32"/>
        </w:rPr>
      </w:pPr>
    </w:p>
    <w:p w:rsidR="002D1BF3" w:rsidRDefault="002D1B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Incorporación de actividad física durante el tratamiento</w:t>
      </w:r>
    </w:p>
    <w:p w:rsidR="002D1BF3" w:rsidRPr="002D1BF3" w:rsidRDefault="00CE5242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Bailar tango, un </w:t>
      </w:r>
      <w:r w:rsidR="004A2FEF">
        <w:rPr>
          <w:rFonts w:ascii="Arial" w:hAnsi="Arial" w:cs="Arial"/>
          <w:b/>
          <w:bCs/>
          <w:sz w:val="40"/>
          <w:szCs w:val="40"/>
        </w:rPr>
        <w:t xml:space="preserve">buen ejercicio </w:t>
      </w:r>
      <w:r>
        <w:rPr>
          <w:rFonts w:ascii="Arial" w:hAnsi="Arial" w:cs="Arial"/>
          <w:b/>
          <w:bCs/>
          <w:sz w:val="40"/>
          <w:szCs w:val="40"/>
        </w:rPr>
        <w:t xml:space="preserve"> para pacie</w:t>
      </w:r>
      <w:r w:rsidR="001F592C">
        <w:rPr>
          <w:rFonts w:ascii="Arial" w:hAnsi="Arial" w:cs="Arial"/>
          <w:b/>
          <w:bCs/>
          <w:sz w:val="40"/>
          <w:szCs w:val="40"/>
        </w:rPr>
        <w:t>ntes oncológicos</w:t>
      </w:r>
    </w:p>
    <w:p w:rsidR="00DB3466" w:rsidRDefault="00D439E6" w:rsidP="006A726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Para evitar el sedentarismo, la doctora Guadalupe </w:t>
      </w:r>
      <w:proofErr w:type="spellStart"/>
      <w:r>
        <w:rPr>
          <w:rFonts w:ascii="Arial" w:hAnsi="Arial" w:cs="Arial"/>
          <w:b/>
          <w:bCs/>
        </w:rPr>
        <w:t>Pallotta</w:t>
      </w:r>
      <w:proofErr w:type="spellEnd"/>
      <w:r>
        <w:rPr>
          <w:rFonts w:ascii="Arial" w:hAnsi="Arial" w:cs="Arial"/>
          <w:b/>
          <w:bCs/>
        </w:rPr>
        <w:t>, médica consultora en Oncología Clínica del Hospital Italiano de Buenos Aires y presidenta de la Fundación Tiempo de Vivir, motiva a los pacientes para que sumen actividades que impliquen cierto esfuerzo físico</w:t>
      </w:r>
      <w:r w:rsidR="00DB3466">
        <w:rPr>
          <w:rFonts w:ascii="Arial" w:hAnsi="Arial" w:cs="Arial"/>
          <w:b/>
          <w:bCs/>
        </w:rPr>
        <w:t xml:space="preserve">. </w:t>
      </w:r>
    </w:p>
    <w:p w:rsidR="00F6221D" w:rsidRPr="006A726C" w:rsidRDefault="00F6221D" w:rsidP="006A726C">
      <w:pPr>
        <w:jc w:val="both"/>
        <w:rPr>
          <w:rFonts w:ascii="Arial" w:hAnsi="Arial" w:cs="Arial"/>
          <w:b/>
          <w:bCs/>
        </w:rPr>
      </w:pPr>
    </w:p>
    <w:p w:rsidR="002D1BF3" w:rsidRDefault="0069776B" w:rsidP="0079041C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Buenos Aires, marzo</w:t>
      </w:r>
      <w:r w:rsidR="0015401A" w:rsidRPr="0079041C">
        <w:rPr>
          <w:rFonts w:ascii="Arial" w:hAnsi="Arial" w:cs="Arial"/>
          <w:sz w:val="20"/>
          <w:szCs w:val="20"/>
          <w:u w:val="single"/>
        </w:rPr>
        <w:t xml:space="preserve"> </w:t>
      </w:r>
      <w:r w:rsidR="00DB3466">
        <w:rPr>
          <w:rFonts w:ascii="Arial" w:hAnsi="Arial" w:cs="Arial"/>
          <w:sz w:val="20"/>
          <w:szCs w:val="20"/>
          <w:u w:val="single"/>
        </w:rPr>
        <w:t>de 2014</w:t>
      </w:r>
      <w:r w:rsidR="00F6221D" w:rsidRPr="0079041C">
        <w:rPr>
          <w:rFonts w:ascii="Arial" w:hAnsi="Arial" w:cs="Arial"/>
          <w:sz w:val="20"/>
          <w:szCs w:val="20"/>
          <w:u w:val="single"/>
        </w:rPr>
        <w:t>.-</w:t>
      </w:r>
      <w:r w:rsidR="00F6221D" w:rsidRPr="0079041C">
        <w:rPr>
          <w:rFonts w:ascii="Arial" w:hAnsi="Arial" w:cs="Arial"/>
          <w:sz w:val="20"/>
          <w:szCs w:val="20"/>
        </w:rPr>
        <w:t xml:space="preserve">  </w:t>
      </w:r>
      <w:r w:rsidR="00F6221D" w:rsidRPr="007302A6">
        <w:rPr>
          <w:rFonts w:ascii="Arial" w:hAnsi="Arial" w:cs="Arial"/>
          <w:i/>
          <w:iCs/>
          <w:sz w:val="20"/>
          <w:szCs w:val="20"/>
        </w:rPr>
        <w:t>“</w:t>
      </w:r>
      <w:r w:rsidR="002D1BF3">
        <w:rPr>
          <w:rFonts w:ascii="Arial" w:hAnsi="Arial" w:cs="Arial"/>
          <w:i/>
          <w:iCs/>
          <w:sz w:val="20"/>
          <w:szCs w:val="20"/>
        </w:rPr>
        <w:t>Para evitar el sedentarismo, e</w:t>
      </w:r>
      <w:r w:rsidR="00E4053B">
        <w:rPr>
          <w:rFonts w:ascii="Arial" w:hAnsi="Arial" w:cs="Arial"/>
          <w:i/>
          <w:iCs/>
          <w:sz w:val="20"/>
          <w:szCs w:val="20"/>
        </w:rPr>
        <w:t>s recomendable que el paciente oncológico incorpore una actividad a</w:t>
      </w:r>
      <w:r w:rsidR="002D1BF3">
        <w:rPr>
          <w:rFonts w:ascii="Arial" w:hAnsi="Arial" w:cs="Arial"/>
          <w:i/>
          <w:iCs/>
          <w:sz w:val="20"/>
          <w:szCs w:val="20"/>
        </w:rPr>
        <w:t>eróbica</w:t>
      </w:r>
      <w:r w:rsidR="00E4053B">
        <w:rPr>
          <w:rFonts w:ascii="Arial" w:hAnsi="Arial" w:cs="Arial"/>
          <w:i/>
          <w:iCs/>
          <w:sz w:val="20"/>
          <w:szCs w:val="20"/>
        </w:rPr>
        <w:t xml:space="preserve"> para quemar calorías a través del esfuerzo físico”</w:t>
      </w:r>
      <w:r w:rsidR="00DF11D6" w:rsidRPr="00CF077C">
        <w:rPr>
          <w:rFonts w:ascii="Arial" w:hAnsi="Arial" w:cs="Arial"/>
          <w:b/>
          <w:iCs/>
          <w:sz w:val="20"/>
          <w:szCs w:val="20"/>
        </w:rPr>
        <w:t>,</w:t>
      </w:r>
      <w:r w:rsidR="00E4053B">
        <w:rPr>
          <w:rFonts w:ascii="Arial" w:hAnsi="Arial" w:cs="Arial"/>
          <w:b/>
          <w:iCs/>
          <w:sz w:val="20"/>
          <w:szCs w:val="20"/>
        </w:rPr>
        <w:t xml:space="preserve"> afirma la doctora Guadalupe </w:t>
      </w:r>
      <w:proofErr w:type="spellStart"/>
      <w:r w:rsidR="00E4053B">
        <w:rPr>
          <w:rFonts w:ascii="Arial" w:hAnsi="Arial" w:cs="Arial"/>
          <w:b/>
          <w:iCs/>
          <w:sz w:val="20"/>
          <w:szCs w:val="20"/>
        </w:rPr>
        <w:t>Pallotta</w:t>
      </w:r>
      <w:proofErr w:type="spellEnd"/>
      <w:r w:rsidR="00E4053B">
        <w:rPr>
          <w:rFonts w:ascii="Arial" w:hAnsi="Arial" w:cs="Arial"/>
          <w:b/>
          <w:iCs/>
          <w:sz w:val="20"/>
          <w:szCs w:val="20"/>
        </w:rPr>
        <w:t xml:space="preserve"> (MN 40428), </w:t>
      </w:r>
      <w:r w:rsidR="00DF11D6" w:rsidRPr="00CF077C">
        <w:rPr>
          <w:rFonts w:ascii="Arial" w:hAnsi="Arial" w:cs="Arial"/>
          <w:b/>
          <w:iCs/>
          <w:sz w:val="20"/>
          <w:szCs w:val="20"/>
        </w:rPr>
        <w:t xml:space="preserve"> </w:t>
      </w:r>
      <w:r w:rsidR="002D1BF3">
        <w:rPr>
          <w:rFonts w:ascii="Arial" w:hAnsi="Arial" w:cs="Arial"/>
          <w:b/>
          <w:iCs/>
          <w:sz w:val="20"/>
          <w:szCs w:val="20"/>
        </w:rPr>
        <w:t xml:space="preserve">presidenta de la Fundación Tiempo de Vivir, y consultora en Oncología Clínica de Hospital Italiano de Buenos Aires, sección médica que creó en 1989. </w:t>
      </w:r>
    </w:p>
    <w:p w:rsidR="002D1BF3" w:rsidRPr="002D1BF3" w:rsidRDefault="00CE5242" w:rsidP="0079041C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La doctora </w:t>
      </w:r>
      <w:proofErr w:type="spellStart"/>
      <w:r>
        <w:rPr>
          <w:rFonts w:ascii="Arial" w:hAnsi="Arial" w:cs="Arial"/>
          <w:iCs/>
          <w:sz w:val="20"/>
          <w:szCs w:val="20"/>
        </w:rPr>
        <w:t>Pallotta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r w:rsidR="00E4053B">
        <w:rPr>
          <w:rFonts w:ascii="Arial" w:hAnsi="Arial" w:cs="Arial"/>
          <w:iCs/>
          <w:sz w:val="20"/>
          <w:szCs w:val="20"/>
        </w:rPr>
        <w:t xml:space="preserve">–ex paciente de cáncer de mama- </w:t>
      </w:r>
      <w:r>
        <w:rPr>
          <w:rFonts w:ascii="Arial" w:hAnsi="Arial" w:cs="Arial"/>
          <w:iCs/>
          <w:sz w:val="20"/>
          <w:szCs w:val="20"/>
        </w:rPr>
        <w:t>participa desde hace 11 años de las Clases de Tango en el Hospital Italiano.</w:t>
      </w:r>
    </w:p>
    <w:p w:rsidR="002D1BF3" w:rsidRPr="002D1BF3" w:rsidRDefault="00CE5242" w:rsidP="0079041C">
      <w:pPr>
        <w:jc w:val="both"/>
        <w:rPr>
          <w:rFonts w:ascii="Arial" w:hAnsi="Arial" w:cs="Arial"/>
          <w:iCs/>
          <w:sz w:val="16"/>
          <w:szCs w:val="16"/>
        </w:rPr>
      </w:pPr>
      <w:r w:rsidRPr="002D1BF3">
        <w:rPr>
          <w:rFonts w:ascii="Arial" w:hAnsi="Arial" w:cs="Arial"/>
          <w:iCs/>
          <w:sz w:val="16"/>
          <w:szCs w:val="16"/>
        </w:rPr>
        <w:t xml:space="preserve"> </w:t>
      </w:r>
      <w:r w:rsidR="002D1BF3"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D1BF3" w:rsidRPr="002D1BF3">
        <w:rPr>
          <w:rFonts w:ascii="Arial" w:hAnsi="Arial" w:cs="Arial"/>
          <w:b/>
          <w:iCs/>
          <w:sz w:val="20"/>
          <w:szCs w:val="20"/>
        </w:rPr>
        <w:t>Oncología</w:t>
      </w:r>
      <w:r w:rsidR="0069776B">
        <w:rPr>
          <w:rFonts w:ascii="Arial" w:hAnsi="Arial" w:cs="Arial"/>
          <w:b/>
          <w:iCs/>
          <w:sz w:val="20"/>
          <w:szCs w:val="20"/>
        </w:rPr>
        <w:t>… y tango</w:t>
      </w:r>
    </w:p>
    <w:p w:rsidR="00CE5242" w:rsidRDefault="00CE5242" w:rsidP="0079041C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El grupo se formó a partir de la iniciativa de dos médicos oncólogos pediatras, los </w:t>
      </w:r>
      <w:proofErr w:type="spellStart"/>
      <w:r>
        <w:rPr>
          <w:rFonts w:ascii="Arial" w:hAnsi="Arial" w:cs="Arial"/>
          <w:iCs/>
          <w:sz w:val="20"/>
          <w:szCs w:val="20"/>
        </w:rPr>
        <w:t>Dres</w:t>
      </w:r>
      <w:proofErr w:type="spellEnd"/>
      <w:r>
        <w:rPr>
          <w:rFonts w:ascii="Arial" w:hAnsi="Arial" w:cs="Arial"/>
          <w:iCs/>
          <w:sz w:val="20"/>
          <w:szCs w:val="20"/>
        </w:rPr>
        <w:t>. Eduardo</w:t>
      </w:r>
      <w:r w:rsidR="00E4053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4053B">
        <w:rPr>
          <w:rFonts w:ascii="Arial" w:hAnsi="Arial" w:cs="Arial"/>
          <w:iCs/>
          <w:sz w:val="20"/>
          <w:szCs w:val="20"/>
        </w:rPr>
        <w:t>Dibar</w:t>
      </w:r>
      <w:proofErr w:type="spellEnd"/>
      <w:r w:rsidR="00E4053B">
        <w:rPr>
          <w:rFonts w:ascii="Arial" w:hAnsi="Arial" w:cs="Arial"/>
          <w:iCs/>
          <w:sz w:val="20"/>
          <w:szCs w:val="20"/>
        </w:rPr>
        <w:t xml:space="preserve"> y Mónica </w:t>
      </w:r>
      <w:proofErr w:type="spellStart"/>
      <w:r w:rsidR="00E4053B">
        <w:rPr>
          <w:rFonts w:ascii="Arial" w:hAnsi="Arial" w:cs="Arial"/>
          <w:iCs/>
          <w:sz w:val="20"/>
          <w:szCs w:val="20"/>
        </w:rPr>
        <w:t>Makiya</w:t>
      </w:r>
      <w:proofErr w:type="spellEnd"/>
      <w:r w:rsidR="00E4053B">
        <w:rPr>
          <w:rFonts w:ascii="Arial" w:hAnsi="Arial" w:cs="Arial"/>
          <w:iCs/>
          <w:sz w:val="20"/>
          <w:szCs w:val="20"/>
        </w:rPr>
        <w:t xml:space="preserve">, que desarrollaron esta actividad durante seis años. </w:t>
      </w:r>
    </w:p>
    <w:p w:rsidR="00CE5242" w:rsidRDefault="00CE5242" w:rsidP="0079041C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En esa primera etapa, el grupo estaba abierto a profesionales del Hospital, que, luego del horario de trabajo, </w:t>
      </w:r>
      <w:r w:rsidR="00E4053B">
        <w:rPr>
          <w:rFonts w:ascii="Arial" w:hAnsi="Arial" w:cs="Arial"/>
          <w:iCs/>
          <w:sz w:val="20"/>
          <w:szCs w:val="20"/>
        </w:rPr>
        <w:t xml:space="preserve">los viernes </w:t>
      </w:r>
      <w:r>
        <w:rPr>
          <w:rFonts w:ascii="Arial" w:hAnsi="Arial" w:cs="Arial"/>
          <w:iCs/>
          <w:sz w:val="20"/>
          <w:szCs w:val="20"/>
        </w:rPr>
        <w:t>a partir de las cinco de la tarde, aprendían y bailaban tango en el ámbito donde se hacía</w:t>
      </w:r>
      <w:r w:rsidR="00E4053B">
        <w:rPr>
          <w:rFonts w:ascii="Arial" w:hAnsi="Arial" w:cs="Arial"/>
          <w:iCs/>
          <w:sz w:val="20"/>
          <w:szCs w:val="20"/>
        </w:rPr>
        <w:t>n</w:t>
      </w:r>
      <w:r>
        <w:rPr>
          <w:rFonts w:ascii="Arial" w:hAnsi="Arial" w:cs="Arial"/>
          <w:iCs/>
          <w:sz w:val="20"/>
          <w:szCs w:val="20"/>
        </w:rPr>
        <w:t xml:space="preserve"> las quimioterapias de los chicos. </w:t>
      </w:r>
      <w:r w:rsidR="00E4053B">
        <w:rPr>
          <w:rFonts w:ascii="Arial" w:hAnsi="Arial" w:cs="Arial"/>
          <w:iCs/>
          <w:sz w:val="20"/>
          <w:szCs w:val="20"/>
        </w:rPr>
        <w:t xml:space="preserve">Cada fin de año, se realizaba una presentación para el público. </w:t>
      </w:r>
    </w:p>
    <w:p w:rsidR="00E4053B" w:rsidRDefault="00E4053B" w:rsidP="0079041C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Al crecer la estructura del Hospital, la Asociación de Médicos –que en ese momento terminó la construcción de su sede- ofreció al grupo mudar la actividad al nuevo edificio. Sergio fue el nuevo profesor para esta nueva etapa, durante cuatro años.</w:t>
      </w:r>
    </w:p>
    <w:p w:rsidR="0069776B" w:rsidRDefault="00E4053B" w:rsidP="00D439E6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Desde hace dos años, la nueva profesora es Nora </w:t>
      </w:r>
      <w:proofErr w:type="spellStart"/>
      <w:r>
        <w:rPr>
          <w:rFonts w:ascii="Arial" w:hAnsi="Arial" w:cs="Arial"/>
          <w:iCs/>
          <w:sz w:val="20"/>
          <w:szCs w:val="20"/>
        </w:rPr>
        <w:t>Richardi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empleada administrativa del Hospital Italiano, que se conectó con la actividad varios años atrás, cuando el grupo representó “El Tango de los Cisnes”. </w:t>
      </w:r>
    </w:p>
    <w:p w:rsidR="00D439E6" w:rsidRPr="0069776B" w:rsidRDefault="00D439E6" w:rsidP="00D439E6">
      <w:pPr>
        <w:jc w:val="both"/>
        <w:rPr>
          <w:rFonts w:ascii="Arial" w:hAnsi="Arial" w:cs="Arial"/>
          <w:iCs/>
          <w:sz w:val="20"/>
          <w:szCs w:val="20"/>
        </w:rPr>
      </w:pPr>
      <w:r w:rsidRPr="002647BE">
        <w:rPr>
          <w:rFonts w:ascii="Arial" w:hAnsi="Arial" w:cs="Arial"/>
          <w:sz w:val="20"/>
          <w:szCs w:val="20"/>
        </w:rPr>
        <w:t xml:space="preserve">La </w:t>
      </w:r>
      <w:r w:rsidRPr="002647BE">
        <w:rPr>
          <w:rFonts w:ascii="Arial" w:hAnsi="Arial" w:cs="Arial"/>
          <w:b/>
          <w:bCs/>
          <w:sz w:val="20"/>
          <w:szCs w:val="20"/>
        </w:rPr>
        <w:t>Sección Oncología del Hospital Italiano de Buenos Aires</w:t>
      </w:r>
      <w:r w:rsidRPr="002647BE">
        <w:rPr>
          <w:rFonts w:ascii="Arial" w:hAnsi="Arial" w:cs="Arial"/>
          <w:sz w:val="20"/>
          <w:szCs w:val="20"/>
        </w:rPr>
        <w:t xml:space="preserve"> presta un servicio basado en la excelencia, el trabajo en equipo, la investigación y el tratamiento personalizado. Desarrolla ateneos </w:t>
      </w:r>
      <w:r w:rsidRPr="002647BE">
        <w:rPr>
          <w:rFonts w:ascii="Arial" w:hAnsi="Arial" w:cs="Arial"/>
          <w:sz w:val="20"/>
          <w:szCs w:val="20"/>
        </w:rPr>
        <w:lastRenderedPageBreak/>
        <w:t xml:space="preserve">semanales en Patología Torácica, Cirugía General, </w:t>
      </w:r>
      <w:proofErr w:type="spellStart"/>
      <w:r w:rsidRPr="002647BE">
        <w:rPr>
          <w:rFonts w:ascii="Arial" w:hAnsi="Arial" w:cs="Arial"/>
          <w:sz w:val="20"/>
          <w:szCs w:val="20"/>
        </w:rPr>
        <w:t>Coloproctología</w:t>
      </w:r>
      <w:proofErr w:type="spellEnd"/>
      <w:r w:rsidRPr="002647BE">
        <w:rPr>
          <w:rFonts w:ascii="Arial" w:hAnsi="Arial" w:cs="Arial"/>
          <w:sz w:val="20"/>
          <w:szCs w:val="20"/>
        </w:rPr>
        <w:t>, Cabeza y Cuello, Dermatología, Ortopedia y Neurocirugía.</w:t>
      </w:r>
    </w:p>
    <w:p w:rsidR="00D439E6" w:rsidRDefault="00D439E6" w:rsidP="00D439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647BE">
        <w:rPr>
          <w:rFonts w:ascii="Arial" w:hAnsi="Arial" w:cs="Arial"/>
          <w:sz w:val="20"/>
          <w:szCs w:val="20"/>
        </w:rPr>
        <w:t>Los profesionales de la Sección abordan gran cantidad de patologías no habituales denominadas “huérfanas”, por su baja prevalencia. Oncología comparte experiencias con el área de Enfermería.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39E6" w:rsidRPr="002647BE" w:rsidRDefault="00D439E6" w:rsidP="00D439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647BE">
        <w:rPr>
          <w:rFonts w:ascii="Arial" w:hAnsi="Arial" w:cs="Arial"/>
          <w:sz w:val="20"/>
          <w:szCs w:val="20"/>
        </w:rPr>
        <w:t>El Hospital Italiano brinda la posibilidad de contar con las nuevas tecnologías asistenciales, permitiendo la elección de los tratamientos.</w:t>
      </w:r>
    </w:p>
    <w:p w:rsidR="00D439E6" w:rsidRDefault="00D439E6" w:rsidP="0079041C">
      <w:pPr>
        <w:jc w:val="both"/>
        <w:rPr>
          <w:rFonts w:ascii="Arial" w:hAnsi="Arial" w:cs="Arial"/>
          <w:iCs/>
          <w:sz w:val="20"/>
          <w:szCs w:val="20"/>
        </w:rPr>
      </w:pPr>
    </w:p>
    <w:p w:rsidR="003B6D51" w:rsidRDefault="003B6D51" w:rsidP="004A2FEF">
      <w:pPr>
        <w:rPr>
          <w:rFonts w:ascii="Arial" w:hAnsi="Arial" w:cs="Arial"/>
          <w:b/>
          <w:iCs/>
          <w:sz w:val="20"/>
          <w:szCs w:val="20"/>
        </w:rPr>
      </w:pPr>
    </w:p>
    <w:p w:rsidR="00E4053B" w:rsidRDefault="004A2FEF" w:rsidP="004A2FEF">
      <w:pPr>
        <w:rPr>
          <w:rFonts w:ascii="Arial" w:hAnsi="Arial" w:cs="Arial"/>
          <w:iCs/>
          <w:sz w:val="20"/>
          <w:szCs w:val="20"/>
        </w:rPr>
      </w:pPr>
      <w:r w:rsidRPr="004A2FEF">
        <w:rPr>
          <w:rFonts w:ascii="Arial" w:hAnsi="Arial" w:cs="Arial"/>
          <w:b/>
          <w:iCs/>
          <w:sz w:val="20"/>
          <w:szCs w:val="20"/>
        </w:rPr>
        <w:t xml:space="preserve">Más información:                                                                                                                                                       </w:t>
      </w:r>
      <w:hyperlink r:id="rId6" w:history="1">
        <w:r w:rsidR="0069776B" w:rsidRPr="00F24173">
          <w:rPr>
            <w:rStyle w:val="Hipervnculo"/>
            <w:rFonts w:ascii="Arial" w:hAnsi="Arial" w:cs="Arial"/>
            <w:iCs/>
            <w:sz w:val="20"/>
            <w:szCs w:val="20"/>
          </w:rPr>
          <w:t>www.tiempodevivir.org.ar</w:t>
        </w:r>
      </w:hyperlink>
      <w:r w:rsidR="0069776B">
        <w:rPr>
          <w:rFonts w:ascii="Arial" w:hAnsi="Arial" w:cs="Arial"/>
          <w:iCs/>
          <w:sz w:val="20"/>
          <w:szCs w:val="20"/>
        </w:rPr>
        <w:t xml:space="preserve"> </w:t>
      </w:r>
    </w:p>
    <w:p w:rsidR="00F6221D" w:rsidRDefault="00F6221D" w:rsidP="002647BE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F6221D" w:rsidRPr="002647BE" w:rsidRDefault="00FC5F40" w:rsidP="002647B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3432810" cy="489585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6221D" w:rsidRPr="002647BE" w:rsidSect="004C72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72"/>
    <w:multiLevelType w:val="multilevel"/>
    <w:tmpl w:val="DA78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E1330D"/>
    <w:multiLevelType w:val="hybridMultilevel"/>
    <w:tmpl w:val="4FEC8D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50BB"/>
    <w:multiLevelType w:val="hybridMultilevel"/>
    <w:tmpl w:val="D9006C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4478E"/>
    <w:multiLevelType w:val="multilevel"/>
    <w:tmpl w:val="CE7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1DC14E5"/>
    <w:multiLevelType w:val="multilevel"/>
    <w:tmpl w:val="857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6602F6E"/>
    <w:multiLevelType w:val="multilevel"/>
    <w:tmpl w:val="85E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F6337"/>
    <w:rsid w:val="00051F34"/>
    <w:rsid w:val="000727BF"/>
    <w:rsid w:val="00072CFF"/>
    <w:rsid w:val="0008251D"/>
    <w:rsid w:val="000A7595"/>
    <w:rsid w:val="000C312F"/>
    <w:rsid w:val="000D1A64"/>
    <w:rsid w:val="000D7620"/>
    <w:rsid w:val="000F459B"/>
    <w:rsid w:val="000F474A"/>
    <w:rsid w:val="001327F5"/>
    <w:rsid w:val="00132D5D"/>
    <w:rsid w:val="0013518B"/>
    <w:rsid w:val="0015401A"/>
    <w:rsid w:val="0018576B"/>
    <w:rsid w:val="00185B1E"/>
    <w:rsid w:val="0018687D"/>
    <w:rsid w:val="001A6E67"/>
    <w:rsid w:val="001B0CFA"/>
    <w:rsid w:val="001D633E"/>
    <w:rsid w:val="001E0532"/>
    <w:rsid w:val="001E7789"/>
    <w:rsid w:val="001F592C"/>
    <w:rsid w:val="001F6F49"/>
    <w:rsid w:val="00216621"/>
    <w:rsid w:val="00230A5F"/>
    <w:rsid w:val="002315C8"/>
    <w:rsid w:val="002647BE"/>
    <w:rsid w:val="002733AA"/>
    <w:rsid w:val="002A1283"/>
    <w:rsid w:val="002B38A1"/>
    <w:rsid w:val="002B6DE7"/>
    <w:rsid w:val="002C31DF"/>
    <w:rsid w:val="002D1BF3"/>
    <w:rsid w:val="002D1F40"/>
    <w:rsid w:val="002E2A00"/>
    <w:rsid w:val="0036155C"/>
    <w:rsid w:val="0036202A"/>
    <w:rsid w:val="003A1FAD"/>
    <w:rsid w:val="003A42A5"/>
    <w:rsid w:val="003A4C7B"/>
    <w:rsid w:val="003B6D51"/>
    <w:rsid w:val="003D1AF1"/>
    <w:rsid w:val="003E07D3"/>
    <w:rsid w:val="003E5E92"/>
    <w:rsid w:val="003F373F"/>
    <w:rsid w:val="00435B29"/>
    <w:rsid w:val="004773AF"/>
    <w:rsid w:val="004A2FEF"/>
    <w:rsid w:val="004B7486"/>
    <w:rsid w:val="004C726F"/>
    <w:rsid w:val="004F6F38"/>
    <w:rsid w:val="0051738C"/>
    <w:rsid w:val="00527CB5"/>
    <w:rsid w:val="0053074B"/>
    <w:rsid w:val="00540EDC"/>
    <w:rsid w:val="00552105"/>
    <w:rsid w:val="00564F07"/>
    <w:rsid w:val="005858B5"/>
    <w:rsid w:val="005A5934"/>
    <w:rsid w:val="005C14C5"/>
    <w:rsid w:val="005D209F"/>
    <w:rsid w:val="006404AB"/>
    <w:rsid w:val="00640F1E"/>
    <w:rsid w:val="006475D4"/>
    <w:rsid w:val="0065764D"/>
    <w:rsid w:val="0069776B"/>
    <w:rsid w:val="006A726C"/>
    <w:rsid w:val="006D6B13"/>
    <w:rsid w:val="006E5C7E"/>
    <w:rsid w:val="006F1EC8"/>
    <w:rsid w:val="006F6337"/>
    <w:rsid w:val="00700450"/>
    <w:rsid w:val="007013A1"/>
    <w:rsid w:val="00707616"/>
    <w:rsid w:val="007302A6"/>
    <w:rsid w:val="0073699E"/>
    <w:rsid w:val="0078230A"/>
    <w:rsid w:val="0079041C"/>
    <w:rsid w:val="007A0109"/>
    <w:rsid w:val="007C7240"/>
    <w:rsid w:val="007D1BEC"/>
    <w:rsid w:val="007E0E8F"/>
    <w:rsid w:val="007F013E"/>
    <w:rsid w:val="007F6793"/>
    <w:rsid w:val="007F7ED7"/>
    <w:rsid w:val="008112AE"/>
    <w:rsid w:val="00811354"/>
    <w:rsid w:val="00850061"/>
    <w:rsid w:val="00875960"/>
    <w:rsid w:val="008A3E72"/>
    <w:rsid w:val="008D0953"/>
    <w:rsid w:val="008F504A"/>
    <w:rsid w:val="0090098F"/>
    <w:rsid w:val="00900BDB"/>
    <w:rsid w:val="009218D8"/>
    <w:rsid w:val="00922EA8"/>
    <w:rsid w:val="00956FE3"/>
    <w:rsid w:val="0097726B"/>
    <w:rsid w:val="00997E44"/>
    <w:rsid w:val="009A4519"/>
    <w:rsid w:val="00A478BB"/>
    <w:rsid w:val="00A866A7"/>
    <w:rsid w:val="00A94FC5"/>
    <w:rsid w:val="00A97DC8"/>
    <w:rsid w:val="00AA52FB"/>
    <w:rsid w:val="00AB7E47"/>
    <w:rsid w:val="00B02C54"/>
    <w:rsid w:val="00B0371F"/>
    <w:rsid w:val="00B112A9"/>
    <w:rsid w:val="00B11EB7"/>
    <w:rsid w:val="00B46607"/>
    <w:rsid w:val="00B54705"/>
    <w:rsid w:val="00B87F8C"/>
    <w:rsid w:val="00B92082"/>
    <w:rsid w:val="00BA3692"/>
    <w:rsid w:val="00BB7B6C"/>
    <w:rsid w:val="00C03CFA"/>
    <w:rsid w:val="00C223F6"/>
    <w:rsid w:val="00C51898"/>
    <w:rsid w:val="00C522B5"/>
    <w:rsid w:val="00C63BF0"/>
    <w:rsid w:val="00C80626"/>
    <w:rsid w:val="00CA35CC"/>
    <w:rsid w:val="00CE5242"/>
    <w:rsid w:val="00CF077C"/>
    <w:rsid w:val="00CF7B33"/>
    <w:rsid w:val="00D01AB8"/>
    <w:rsid w:val="00D21BDC"/>
    <w:rsid w:val="00D23828"/>
    <w:rsid w:val="00D24F4C"/>
    <w:rsid w:val="00D439E6"/>
    <w:rsid w:val="00DA7E8B"/>
    <w:rsid w:val="00DB02EF"/>
    <w:rsid w:val="00DB3466"/>
    <w:rsid w:val="00DC3966"/>
    <w:rsid w:val="00DF11D6"/>
    <w:rsid w:val="00DF6BC1"/>
    <w:rsid w:val="00E13D74"/>
    <w:rsid w:val="00E4053B"/>
    <w:rsid w:val="00E41338"/>
    <w:rsid w:val="00E41766"/>
    <w:rsid w:val="00E619BE"/>
    <w:rsid w:val="00E70810"/>
    <w:rsid w:val="00ED1749"/>
    <w:rsid w:val="00EE4FA4"/>
    <w:rsid w:val="00F5799F"/>
    <w:rsid w:val="00F6221D"/>
    <w:rsid w:val="00F776A6"/>
    <w:rsid w:val="00F827ED"/>
    <w:rsid w:val="00F85E1D"/>
    <w:rsid w:val="00FA08FB"/>
    <w:rsid w:val="00FC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6F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0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466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697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empodevivir.org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 de febrero - Día Mundial del cáncer</vt:lpstr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de febrero - Día Mundial del cáncer</dc:title>
  <dc:creator>Laptop</dc:creator>
  <cp:lastModifiedBy>Usuario</cp:lastModifiedBy>
  <cp:revision>5</cp:revision>
  <cp:lastPrinted>2014-03-05T21:32:00Z</cp:lastPrinted>
  <dcterms:created xsi:type="dcterms:W3CDTF">2014-02-12T22:20:00Z</dcterms:created>
  <dcterms:modified xsi:type="dcterms:W3CDTF">2014-03-05T21:40:00Z</dcterms:modified>
</cp:coreProperties>
</file>