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6D" w:rsidRPr="006373D2" w:rsidRDefault="006373D2" w:rsidP="001F6F49">
      <w:pPr>
        <w:spacing w:line="240" w:lineRule="auto"/>
        <w:rPr>
          <w:rFonts w:ascii="Arial" w:hAnsi="Arial" w:cs="Arial"/>
          <w:b/>
          <w:bCs/>
          <w:u w:val="single"/>
        </w:rPr>
      </w:pPr>
      <w:r>
        <w:rPr>
          <w:noProof/>
          <w:lang w:eastAsia="es-A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-233045</wp:posOffset>
            </wp:positionV>
            <wp:extent cx="1447800" cy="790575"/>
            <wp:effectExtent l="19050" t="0" r="0" b="0"/>
            <wp:wrapSquare wrapText="bothSides"/>
            <wp:docPr id="3" name="2 Imagen" descr="FTV - Logo - Color - Baja Resolu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V - Logo - Color - Baja Resolució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-233045</wp:posOffset>
            </wp:positionV>
            <wp:extent cx="1485900" cy="723900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686D"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          </w:t>
      </w:r>
      <w:r w:rsidR="009D686D" w:rsidRPr="006373D2">
        <w:rPr>
          <w:rFonts w:ascii="Arial" w:hAnsi="Arial" w:cs="Arial"/>
          <w:b/>
          <w:bCs/>
          <w:i/>
          <w:iCs/>
          <w:u w:val="single"/>
        </w:rPr>
        <w:t>Sección Oncología Clínica</w:t>
      </w:r>
    </w:p>
    <w:p w:rsidR="009D686D" w:rsidRPr="002647BE" w:rsidRDefault="009D686D">
      <w:pPr>
        <w:rPr>
          <w:rFonts w:ascii="Arial" w:hAnsi="Arial" w:cs="Arial"/>
          <w:sz w:val="16"/>
          <w:szCs w:val="16"/>
        </w:rPr>
      </w:pPr>
    </w:p>
    <w:p w:rsidR="009D686D" w:rsidRDefault="009D686D">
      <w:pPr>
        <w:rPr>
          <w:rFonts w:ascii="Arial" w:hAnsi="Arial" w:cs="Arial"/>
          <w:sz w:val="32"/>
          <w:szCs w:val="32"/>
        </w:rPr>
      </w:pPr>
    </w:p>
    <w:p w:rsidR="009D686D" w:rsidRDefault="001706CB" w:rsidP="00B941E7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sz w:val="32"/>
          <w:szCs w:val="32"/>
        </w:rPr>
        <w:t>Durante el</w:t>
      </w:r>
      <w:r w:rsidR="00F76D20">
        <w:rPr>
          <w:rFonts w:ascii="Arial" w:hAnsi="Arial" w:cs="Arial"/>
          <w:sz w:val="32"/>
          <w:szCs w:val="32"/>
        </w:rPr>
        <w:t xml:space="preserve"> Congreso Mundial de Sydney, Australia </w:t>
      </w:r>
      <w:r w:rsidR="00F76D20">
        <w:rPr>
          <w:rFonts w:ascii="Arial" w:hAnsi="Arial" w:cs="Arial"/>
          <w:b/>
          <w:bCs/>
          <w:sz w:val="40"/>
          <w:szCs w:val="40"/>
        </w:rPr>
        <w:t xml:space="preserve">Establecen el 17 de noviembre como el </w:t>
      </w:r>
      <w:r w:rsidR="001A4AB3">
        <w:rPr>
          <w:rFonts w:ascii="Arial" w:hAnsi="Arial" w:cs="Arial"/>
          <w:b/>
          <w:bCs/>
          <w:sz w:val="40"/>
          <w:szCs w:val="40"/>
        </w:rPr>
        <w:t xml:space="preserve">        </w:t>
      </w:r>
      <w:r w:rsidR="00F76D20">
        <w:rPr>
          <w:rFonts w:ascii="Arial" w:hAnsi="Arial" w:cs="Arial"/>
          <w:b/>
          <w:bCs/>
          <w:sz w:val="40"/>
          <w:szCs w:val="40"/>
        </w:rPr>
        <w:t xml:space="preserve">Día Mundial del Cáncer de Pulmón </w:t>
      </w:r>
    </w:p>
    <w:p w:rsidR="00BA3559" w:rsidRPr="00862F59" w:rsidRDefault="00A96DE0" w:rsidP="00862F59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Se proyecta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como</w:t>
      </w:r>
      <w:proofErr w:type="gramEnd"/>
      <w:r>
        <w:rPr>
          <w:rFonts w:ascii="Arial" w:hAnsi="Arial" w:cs="Arial"/>
          <w:b/>
          <w:sz w:val="24"/>
          <w:szCs w:val="24"/>
          <w:lang w:val="en-GB"/>
        </w:rPr>
        <w:t xml:space="preserve"> una de las primeras causas de muerte oncológica en el siglo XXI. La cesasión tabáquica es clave para frenar la pandemia</w:t>
      </w:r>
      <w:r w:rsidR="00862F59" w:rsidRPr="00862F59">
        <w:rPr>
          <w:rFonts w:ascii="Arial" w:hAnsi="Arial" w:cs="Arial"/>
          <w:b/>
          <w:sz w:val="24"/>
          <w:szCs w:val="24"/>
          <w:lang w:val="en-GB"/>
        </w:rPr>
        <w:t xml:space="preserve">. </w:t>
      </w:r>
    </w:p>
    <w:p w:rsidR="00862F59" w:rsidRDefault="00862F59" w:rsidP="00DA49E0">
      <w:pPr>
        <w:rPr>
          <w:lang w:val="en-GB"/>
        </w:rPr>
      </w:pPr>
    </w:p>
    <w:p w:rsidR="001706CB" w:rsidRDefault="00F76D20" w:rsidP="001706C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u w:val="single"/>
          <w:lang w:val="en-GB"/>
        </w:rPr>
        <w:t>Buenos Aires, noviem</w:t>
      </w:r>
      <w:r w:rsidR="00862F59" w:rsidRPr="00862F59">
        <w:rPr>
          <w:rFonts w:ascii="Arial" w:hAnsi="Arial" w:cs="Arial"/>
          <w:sz w:val="20"/>
          <w:szCs w:val="20"/>
          <w:u w:val="single"/>
          <w:lang w:val="en-GB"/>
        </w:rPr>
        <w:t>bre 2013</w:t>
      </w:r>
      <w:r w:rsidR="001706CB">
        <w:rPr>
          <w:rFonts w:ascii="Arial" w:hAnsi="Arial" w:cs="Arial"/>
          <w:sz w:val="20"/>
          <w:szCs w:val="20"/>
          <w:u w:val="single"/>
          <w:lang w:val="en-GB"/>
        </w:rPr>
        <w:t>.-</w:t>
      </w:r>
      <w:r w:rsidR="001706CB" w:rsidRPr="001706CB">
        <w:t xml:space="preserve"> </w:t>
      </w:r>
      <w:r w:rsidR="001706CB">
        <w:t xml:space="preserve"> </w:t>
      </w:r>
      <w:r w:rsidR="001706CB">
        <w:rPr>
          <w:rFonts w:ascii="Arial" w:hAnsi="Arial" w:cs="Arial"/>
        </w:rPr>
        <w:t xml:space="preserve">Durante el Congreso Mundial de Cáncer de Pulmón, en Sydney, se fijó el </w:t>
      </w:r>
      <w:r w:rsidR="001706CB" w:rsidRPr="00A96DE0">
        <w:rPr>
          <w:rFonts w:ascii="Arial" w:hAnsi="Arial" w:cs="Arial"/>
          <w:b/>
        </w:rPr>
        <w:t>17 de noviembre como fecha en el calendario internacional para concientizar a la población sobre la pandemia</w:t>
      </w:r>
      <w:r w:rsidR="001706CB">
        <w:rPr>
          <w:rFonts w:ascii="Arial" w:hAnsi="Arial" w:cs="Arial"/>
        </w:rPr>
        <w:t xml:space="preserve"> que se proyecta en países en vías de desarrollo como una de las primeras causas de muerte oncológica en los primeros cincuenta años del siglo XXI. </w:t>
      </w:r>
    </w:p>
    <w:p w:rsidR="001706CB" w:rsidRDefault="001706CB" w:rsidP="00170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Pr="00A96DE0">
        <w:rPr>
          <w:rFonts w:ascii="Arial" w:hAnsi="Arial" w:cs="Arial"/>
          <w:b/>
        </w:rPr>
        <w:t>Día Mundial del Cáncer de Pulmón</w:t>
      </w:r>
      <w:r>
        <w:rPr>
          <w:rFonts w:ascii="Arial" w:hAnsi="Arial" w:cs="Arial"/>
        </w:rPr>
        <w:t xml:space="preserve"> se estableció durante el encuentro organizado por la International Association for the Study of Lung Cancer (SLC es su sigla en inglés), entre el 27 y el 31 de octubre, en Australia. </w:t>
      </w:r>
    </w:p>
    <w:p w:rsidR="001706CB" w:rsidRPr="001706CB" w:rsidRDefault="001706CB" w:rsidP="00170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Allí se congregaron má</w:t>
      </w:r>
      <w:r w:rsidRPr="001706CB">
        <w:rPr>
          <w:rFonts w:ascii="Arial" w:hAnsi="Arial" w:cs="Arial"/>
        </w:rPr>
        <w:t>s de 10</w:t>
      </w:r>
      <w:r>
        <w:rPr>
          <w:rFonts w:ascii="Arial" w:hAnsi="Arial" w:cs="Arial"/>
        </w:rPr>
        <w:t>.</w:t>
      </w:r>
      <w:r w:rsidRPr="001706CB">
        <w:rPr>
          <w:rFonts w:ascii="Arial" w:hAnsi="Arial" w:cs="Arial"/>
        </w:rPr>
        <w:t>000 especialistas de todo el mun</w:t>
      </w:r>
      <w:r>
        <w:rPr>
          <w:rFonts w:ascii="Arial" w:hAnsi="Arial" w:cs="Arial"/>
        </w:rPr>
        <w:t>do y de distintas disciplinas, como oncólogos clínicos, radioterapeutas</w:t>
      </w:r>
      <w:r w:rsidRPr="001706CB">
        <w:rPr>
          <w:rFonts w:ascii="Arial" w:hAnsi="Arial" w:cs="Arial"/>
        </w:rPr>
        <w:t>, neumonólogos</w:t>
      </w:r>
      <w:r>
        <w:rPr>
          <w:rFonts w:ascii="Arial" w:hAnsi="Arial" w:cs="Arial"/>
        </w:rPr>
        <w:t xml:space="preserve">, </w:t>
      </w:r>
      <w:r w:rsidRPr="001706CB">
        <w:rPr>
          <w:rFonts w:ascii="Arial" w:hAnsi="Arial" w:cs="Arial"/>
        </w:rPr>
        <w:t>cirujanos torácic</w:t>
      </w:r>
      <w:r>
        <w:rPr>
          <w:rFonts w:ascii="Arial" w:hAnsi="Arial" w:cs="Arial"/>
        </w:rPr>
        <w:t>os, enfermeras especializadas e investigadores básicos.</w:t>
      </w:r>
    </w:p>
    <w:p w:rsidR="001706CB" w:rsidRDefault="001706CB" w:rsidP="00170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Argentina estuvo representada a través de diferentes delegaciones y oncólogos clínicos, entre ellos, </w:t>
      </w:r>
      <w:r w:rsidR="00A96DE0" w:rsidRPr="00A96DE0">
        <w:rPr>
          <w:rFonts w:ascii="Arial" w:hAnsi="Arial" w:cs="Arial"/>
          <w:b/>
        </w:rPr>
        <w:t>la doctora Guadalupe Pallotta</w:t>
      </w:r>
      <w:r w:rsidR="00A96DE0">
        <w:rPr>
          <w:rFonts w:ascii="Arial" w:hAnsi="Arial" w:cs="Arial"/>
        </w:rPr>
        <w:t>, creadora de la Sección Oncología Clínica del Hospital Italiano d</w:t>
      </w:r>
      <w:r w:rsidR="00EF7D3E">
        <w:rPr>
          <w:rFonts w:ascii="Arial" w:hAnsi="Arial" w:cs="Arial"/>
        </w:rPr>
        <w:t>e Buenos Aires</w:t>
      </w:r>
      <w:r w:rsidR="00A96DE0">
        <w:rPr>
          <w:rFonts w:ascii="Arial" w:hAnsi="Arial" w:cs="Arial"/>
        </w:rPr>
        <w:t xml:space="preserve"> y presidenta de la Fundación Tiempo de Vivir. </w:t>
      </w:r>
    </w:p>
    <w:p w:rsidR="00A96DE0" w:rsidRDefault="00A96DE0" w:rsidP="001706CB">
      <w:pPr>
        <w:jc w:val="both"/>
        <w:rPr>
          <w:rFonts w:ascii="Arial" w:hAnsi="Arial" w:cs="Arial"/>
          <w:b/>
        </w:rPr>
      </w:pPr>
    </w:p>
    <w:p w:rsidR="001706CB" w:rsidRPr="00A96DE0" w:rsidRDefault="00A96DE0" w:rsidP="001706CB">
      <w:pPr>
        <w:jc w:val="both"/>
        <w:rPr>
          <w:rFonts w:ascii="Arial" w:hAnsi="Arial" w:cs="Arial"/>
          <w:b/>
        </w:rPr>
      </w:pPr>
      <w:r w:rsidRPr="00A96DE0">
        <w:rPr>
          <w:rFonts w:ascii="Arial" w:hAnsi="Arial" w:cs="Arial"/>
          <w:b/>
        </w:rPr>
        <w:t>Historia de la enfermedad</w:t>
      </w:r>
    </w:p>
    <w:p w:rsidR="001706CB" w:rsidRPr="001706CB" w:rsidRDefault="00A96DE0" w:rsidP="00170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“Tuvo su factor etiológico </w:t>
      </w:r>
      <w:r w:rsidR="001706CB" w:rsidRPr="001706CB">
        <w:rPr>
          <w:rFonts w:ascii="Arial" w:hAnsi="Arial" w:cs="Arial"/>
        </w:rPr>
        <w:t xml:space="preserve">en la explosión industrial de la manufactura tabacalera  que se sucedió </w:t>
      </w:r>
      <w:r>
        <w:rPr>
          <w:rFonts w:ascii="Arial" w:hAnsi="Arial" w:cs="Arial"/>
        </w:rPr>
        <w:t>desde la Primera Guerra Mundial</w:t>
      </w:r>
      <w:r w:rsidR="001706CB" w:rsidRPr="001706CB">
        <w:rPr>
          <w:rFonts w:ascii="Arial" w:hAnsi="Arial" w:cs="Arial"/>
        </w:rPr>
        <w:t xml:space="preserve">, adicionando a la población masculina  y que se extendió a las mujeres durante la Segunda Gran Guerra  y en las décadas </w:t>
      </w:r>
      <w:r>
        <w:rPr>
          <w:rFonts w:ascii="Arial" w:hAnsi="Arial" w:cs="Arial"/>
        </w:rPr>
        <w:t>subsiguientes</w:t>
      </w:r>
      <w:r w:rsidR="001706CB" w:rsidRPr="001706CB">
        <w:rPr>
          <w:rFonts w:ascii="Arial" w:hAnsi="Arial" w:cs="Arial"/>
        </w:rPr>
        <w:t>, llevando las curvas de expansión del consumo de cigarrillo paralelismo con las de incidencias de cáncer de Pulmó</w:t>
      </w:r>
      <w:r>
        <w:rPr>
          <w:rFonts w:ascii="Arial" w:hAnsi="Arial" w:cs="Arial"/>
        </w:rPr>
        <w:t>n”, afirma la doctor Pallotta.</w:t>
      </w:r>
    </w:p>
    <w:p w:rsidR="001706CB" w:rsidRDefault="00A96DE0" w:rsidP="00170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</w:t>
      </w:r>
      <w:r w:rsidR="001706CB" w:rsidRPr="001706CB">
        <w:rPr>
          <w:rFonts w:ascii="Arial" w:hAnsi="Arial" w:cs="Arial"/>
        </w:rPr>
        <w:t>La comunidad médica inicio sus reportes de la asociación de este hábito con  la aparición de cáncer de Pulmón  recién a fines de la década de 1950  y c</w:t>
      </w:r>
      <w:r>
        <w:rPr>
          <w:rFonts w:ascii="Arial" w:hAnsi="Arial" w:cs="Arial"/>
        </w:rPr>
        <w:t>omienzos de la década siguiente</w:t>
      </w:r>
      <w:r w:rsidR="001706CB" w:rsidRPr="001706CB">
        <w:rPr>
          <w:rFonts w:ascii="Arial" w:hAnsi="Arial" w:cs="Arial"/>
        </w:rPr>
        <w:t>, empezando desde ese momento la conci</w:t>
      </w:r>
      <w:r>
        <w:rPr>
          <w:rFonts w:ascii="Arial" w:hAnsi="Arial" w:cs="Arial"/>
        </w:rPr>
        <w:t>entización médica inicialmente</w:t>
      </w:r>
      <w:r w:rsidR="001706CB" w:rsidRPr="001706CB">
        <w:rPr>
          <w:rFonts w:ascii="Arial" w:hAnsi="Arial" w:cs="Arial"/>
        </w:rPr>
        <w:t>, en la investigación básica  sobre la polución del  am</w:t>
      </w:r>
      <w:r w:rsidR="00EF7D3E">
        <w:rPr>
          <w:rFonts w:ascii="Arial" w:hAnsi="Arial" w:cs="Arial"/>
        </w:rPr>
        <w:t xml:space="preserve">biente donde son expuestos los </w:t>
      </w:r>
      <w:r w:rsidR="001706CB" w:rsidRPr="001706CB">
        <w:rPr>
          <w:rFonts w:ascii="Arial" w:hAnsi="Arial" w:cs="Arial"/>
        </w:rPr>
        <w:t xml:space="preserve">no fumadores, la creación </w:t>
      </w:r>
      <w:r>
        <w:rPr>
          <w:rFonts w:ascii="Arial" w:hAnsi="Arial" w:cs="Arial"/>
        </w:rPr>
        <w:t xml:space="preserve">de asociaciones de lucha, </w:t>
      </w:r>
      <w:r w:rsidR="00EF7D3E">
        <w:rPr>
          <w:rFonts w:ascii="Arial" w:hAnsi="Arial" w:cs="Arial"/>
        </w:rPr>
        <w:t xml:space="preserve">con ex pacientes, </w:t>
      </w:r>
      <w:r w:rsidR="001706CB" w:rsidRPr="001706CB">
        <w:rPr>
          <w:rFonts w:ascii="Arial" w:hAnsi="Arial" w:cs="Arial"/>
        </w:rPr>
        <w:t>en una ardua batalla contra el poderío</w:t>
      </w:r>
      <w:r>
        <w:rPr>
          <w:rFonts w:ascii="Arial" w:hAnsi="Arial" w:cs="Arial"/>
        </w:rPr>
        <w:t xml:space="preserve"> </w:t>
      </w:r>
      <w:r w:rsidR="001706CB" w:rsidRPr="001706CB">
        <w:rPr>
          <w:rFonts w:ascii="Arial" w:hAnsi="Arial" w:cs="Arial"/>
        </w:rPr>
        <w:t>económic</w:t>
      </w:r>
      <w:r>
        <w:rPr>
          <w:rFonts w:ascii="Arial" w:hAnsi="Arial" w:cs="Arial"/>
        </w:rPr>
        <w:t>o de las empresas  tabacaleras”.</w:t>
      </w:r>
    </w:p>
    <w:p w:rsidR="00EF7D3E" w:rsidRPr="00EF7D3E" w:rsidRDefault="00EF7D3E" w:rsidP="001706CB">
      <w:pPr>
        <w:jc w:val="both"/>
        <w:rPr>
          <w:rFonts w:ascii="Arial" w:hAnsi="Arial" w:cs="Arial"/>
          <w:b/>
        </w:rPr>
      </w:pPr>
    </w:p>
    <w:p w:rsidR="00EF7D3E" w:rsidRPr="00EF7D3E" w:rsidRDefault="00EF7D3E" w:rsidP="001706CB">
      <w:pPr>
        <w:jc w:val="both"/>
        <w:rPr>
          <w:rFonts w:ascii="Arial" w:hAnsi="Arial" w:cs="Arial"/>
          <w:b/>
        </w:rPr>
      </w:pPr>
      <w:r w:rsidRPr="00EF7D3E">
        <w:rPr>
          <w:rFonts w:ascii="Arial" w:hAnsi="Arial" w:cs="Arial"/>
          <w:b/>
        </w:rPr>
        <w:t>“Un problema de salud pública”</w:t>
      </w:r>
    </w:p>
    <w:p w:rsidR="00A96DE0" w:rsidRDefault="00A96DE0" w:rsidP="00170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1706CB" w:rsidRPr="001706CB">
        <w:rPr>
          <w:rFonts w:ascii="Arial" w:hAnsi="Arial" w:cs="Arial"/>
        </w:rPr>
        <w:t>Actualmente</w:t>
      </w:r>
      <w:r>
        <w:rPr>
          <w:rFonts w:ascii="Arial" w:hAnsi="Arial" w:cs="Arial"/>
        </w:rPr>
        <w:t>,</w:t>
      </w:r>
      <w:r w:rsidR="001706CB" w:rsidRPr="001706CB">
        <w:rPr>
          <w:rFonts w:ascii="Arial" w:hAnsi="Arial" w:cs="Arial"/>
        </w:rPr>
        <w:t xml:space="preserve"> es un problema de salud pública que tiene que ser encarados por los gobiernos como pasó con la República del Uruguay donde se  está librando una batallas legal con una de </w:t>
      </w:r>
      <w:r>
        <w:rPr>
          <w:rFonts w:ascii="Arial" w:hAnsi="Arial" w:cs="Arial"/>
        </w:rPr>
        <w:t>las tabacaleras má</w:t>
      </w:r>
      <w:r w:rsidR="001706CB" w:rsidRPr="001706CB">
        <w:rPr>
          <w:rFonts w:ascii="Arial" w:hAnsi="Arial" w:cs="Arial"/>
        </w:rPr>
        <w:t>s grandes del mund</w:t>
      </w:r>
      <w:r>
        <w:rPr>
          <w:rFonts w:ascii="Arial" w:hAnsi="Arial" w:cs="Arial"/>
        </w:rPr>
        <w:t xml:space="preserve">o por haber determinado que su </w:t>
      </w:r>
      <w:r w:rsidR="001706CB" w:rsidRPr="001706CB">
        <w:rPr>
          <w:rFonts w:ascii="Arial" w:hAnsi="Arial" w:cs="Arial"/>
        </w:rPr>
        <w:t xml:space="preserve">país  iba a ser libre de </w:t>
      </w:r>
      <w:r>
        <w:rPr>
          <w:rFonts w:ascii="Arial" w:hAnsi="Arial" w:cs="Arial"/>
        </w:rPr>
        <w:t>humo”, sostiene la consultora en Oncología Clínica</w:t>
      </w:r>
      <w:r w:rsidR="001706CB" w:rsidRPr="001706CB">
        <w:rPr>
          <w:rFonts w:ascii="Arial" w:hAnsi="Arial" w:cs="Arial"/>
        </w:rPr>
        <w:t xml:space="preserve">. </w:t>
      </w:r>
    </w:p>
    <w:p w:rsidR="001706CB" w:rsidRPr="001706CB" w:rsidRDefault="00A96DE0" w:rsidP="00A96D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de las herramientas para evitar la expansión de la pandemia es la cesación tabáquica. </w:t>
      </w:r>
      <w:r w:rsidR="001706CB" w:rsidRPr="001706CB">
        <w:rPr>
          <w:rFonts w:ascii="Arial" w:hAnsi="Arial" w:cs="Arial"/>
        </w:rPr>
        <w:t xml:space="preserve"> </w:t>
      </w:r>
    </w:p>
    <w:p w:rsidR="001706CB" w:rsidRDefault="001706CB" w:rsidP="001706CB"/>
    <w:p w:rsidR="009D686D" w:rsidRDefault="009D686D" w:rsidP="001706C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D686D" w:rsidRPr="002647BE" w:rsidRDefault="009D686D" w:rsidP="00B941E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647BE">
        <w:rPr>
          <w:rFonts w:ascii="Arial" w:hAnsi="Arial" w:cs="Arial"/>
          <w:sz w:val="20"/>
          <w:szCs w:val="20"/>
        </w:rPr>
        <w:t xml:space="preserve">La </w:t>
      </w:r>
      <w:r w:rsidRPr="002647BE">
        <w:rPr>
          <w:rFonts w:ascii="Arial" w:hAnsi="Arial" w:cs="Arial"/>
          <w:b/>
          <w:bCs/>
          <w:sz w:val="20"/>
          <w:szCs w:val="20"/>
        </w:rPr>
        <w:t>Sección Oncología del Hospital Italiano de Buenos Aires</w:t>
      </w:r>
      <w:r w:rsidRPr="002647BE">
        <w:rPr>
          <w:rFonts w:ascii="Arial" w:hAnsi="Arial" w:cs="Arial"/>
          <w:sz w:val="20"/>
          <w:szCs w:val="20"/>
        </w:rPr>
        <w:t xml:space="preserve"> presta un servicio basado en la excelencia, el trabajo en equipo, la investigación y el tratamiento personalizado. Desarrolla ateneos semanales en Patología Torácica, Cirugía General, Coloproctología, Cabeza y Cuello, Dermatología, Ortopedia y Neurocirugía.</w:t>
      </w:r>
    </w:p>
    <w:p w:rsidR="009D686D" w:rsidRDefault="009D686D" w:rsidP="00B941E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647BE">
        <w:rPr>
          <w:rFonts w:ascii="Arial" w:hAnsi="Arial" w:cs="Arial"/>
          <w:sz w:val="20"/>
          <w:szCs w:val="20"/>
        </w:rPr>
        <w:t>Los profesionales de la Sección abordan gran cantidad de patologías no habituales denominadas “huérfanas”, por su baja prevalencia. Oncología comparte experiencias con el área de Enfermería.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D686D" w:rsidRPr="002647BE" w:rsidRDefault="009D686D" w:rsidP="00B941E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647BE">
        <w:rPr>
          <w:rFonts w:ascii="Arial" w:hAnsi="Arial" w:cs="Arial"/>
          <w:sz w:val="20"/>
          <w:szCs w:val="20"/>
        </w:rPr>
        <w:t>El Hospital Italiano brinda la posibilidad de contar con las nuevas tecnologías asistenciales, permitiendo la elección de los tratamientos.</w:t>
      </w:r>
    </w:p>
    <w:p w:rsidR="009D686D" w:rsidRDefault="009D686D" w:rsidP="00B941E7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FA3483" w:rsidRDefault="009D686D" w:rsidP="00B941E7">
      <w:pPr>
        <w:pBdr>
          <w:bottom w:val="single" w:sz="4" w:space="1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CA35C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Por entrevistas:  </w:t>
      </w:r>
      <w:r w:rsidRPr="002C31DF">
        <w:rPr>
          <w:rFonts w:ascii="Arial" w:hAnsi="Arial" w:cs="Arial"/>
          <w:sz w:val="20"/>
          <w:szCs w:val="20"/>
        </w:rPr>
        <w:t xml:space="preserve">     </w:t>
      </w:r>
    </w:p>
    <w:p w:rsidR="009D686D" w:rsidRDefault="009D686D" w:rsidP="00B941E7">
      <w:pPr>
        <w:pBdr>
          <w:bottom w:val="single" w:sz="4" w:space="1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2C31DF">
        <w:rPr>
          <w:rFonts w:ascii="Arial" w:hAnsi="Arial" w:cs="Arial"/>
          <w:sz w:val="20"/>
          <w:szCs w:val="20"/>
        </w:rPr>
        <w:t>Sección Oncología Clínica del Hospital Italiano de Buenos Aires</w:t>
      </w:r>
      <w:r>
        <w:rPr>
          <w:rFonts w:ascii="Arial" w:hAnsi="Arial" w:cs="Arial"/>
          <w:sz w:val="20"/>
          <w:szCs w:val="20"/>
        </w:rPr>
        <w:t xml:space="preserve">  </w:t>
      </w:r>
      <w:r w:rsidR="00A96DE0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>
        <w:rPr>
          <w:rFonts w:ascii="Arial" w:hAnsi="Arial" w:cs="Arial"/>
          <w:sz w:val="20"/>
          <w:szCs w:val="20"/>
        </w:rPr>
        <w:t>011-4958-1351</w:t>
      </w:r>
    </w:p>
    <w:p w:rsidR="009D686D" w:rsidRPr="00CB1526" w:rsidRDefault="009D686D" w:rsidP="00CB1526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9D686D" w:rsidRPr="002647BE" w:rsidRDefault="00DA49E0" w:rsidP="002647B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A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70485</wp:posOffset>
            </wp:positionV>
            <wp:extent cx="4114800" cy="586740"/>
            <wp:effectExtent l="1905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D686D" w:rsidRPr="002647BE" w:rsidSect="004C72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72"/>
    <w:multiLevelType w:val="multilevel"/>
    <w:tmpl w:val="DA78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91150BB"/>
    <w:multiLevelType w:val="hybridMultilevel"/>
    <w:tmpl w:val="D9006C3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4478E"/>
    <w:multiLevelType w:val="multilevel"/>
    <w:tmpl w:val="CE7E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1DC14E5"/>
    <w:multiLevelType w:val="multilevel"/>
    <w:tmpl w:val="8578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6602F6E"/>
    <w:multiLevelType w:val="multilevel"/>
    <w:tmpl w:val="85E6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6F6337"/>
    <w:rsid w:val="00032A6C"/>
    <w:rsid w:val="00051F34"/>
    <w:rsid w:val="00072CFF"/>
    <w:rsid w:val="000C312F"/>
    <w:rsid w:val="000D1A64"/>
    <w:rsid w:val="000D7DFD"/>
    <w:rsid w:val="000F459B"/>
    <w:rsid w:val="001049F4"/>
    <w:rsid w:val="0013518B"/>
    <w:rsid w:val="001706CB"/>
    <w:rsid w:val="001A4AB3"/>
    <w:rsid w:val="001A6E67"/>
    <w:rsid w:val="001B0CFA"/>
    <w:rsid w:val="001D633E"/>
    <w:rsid w:val="001E0532"/>
    <w:rsid w:val="001E5D56"/>
    <w:rsid w:val="001E7789"/>
    <w:rsid w:val="001F6C1E"/>
    <w:rsid w:val="001F6F49"/>
    <w:rsid w:val="00216621"/>
    <w:rsid w:val="00230A5F"/>
    <w:rsid w:val="00260AAF"/>
    <w:rsid w:val="002647BE"/>
    <w:rsid w:val="002A1283"/>
    <w:rsid w:val="002C31DF"/>
    <w:rsid w:val="002C4744"/>
    <w:rsid w:val="002E2A00"/>
    <w:rsid w:val="002E428C"/>
    <w:rsid w:val="003243E6"/>
    <w:rsid w:val="0036155C"/>
    <w:rsid w:val="00384A2F"/>
    <w:rsid w:val="003857DD"/>
    <w:rsid w:val="003A1FAD"/>
    <w:rsid w:val="003A42A5"/>
    <w:rsid w:val="003A4C7B"/>
    <w:rsid w:val="003C5017"/>
    <w:rsid w:val="003E5E92"/>
    <w:rsid w:val="003F0744"/>
    <w:rsid w:val="003F373F"/>
    <w:rsid w:val="004773AF"/>
    <w:rsid w:val="004B7486"/>
    <w:rsid w:val="004C726F"/>
    <w:rsid w:val="004F6F38"/>
    <w:rsid w:val="00507336"/>
    <w:rsid w:val="0051738C"/>
    <w:rsid w:val="00527CB5"/>
    <w:rsid w:val="0053074B"/>
    <w:rsid w:val="00540EDC"/>
    <w:rsid w:val="00562B71"/>
    <w:rsid w:val="00564F07"/>
    <w:rsid w:val="005858B5"/>
    <w:rsid w:val="005C14C5"/>
    <w:rsid w:val="005D209F"/>
    <w:rsid w:val="00612D3C"/>
    <w:rsid w:val="006373D2"/>
    <w:rsid w:val="006404AB"/>
    <w:rsid w:val="00640F1E"/>
    <w:rsid w:val="0065764D"/>
    <w:rsid w:val="0066796B"/>
    <w:rsid w:val="006A5B77"/>
    <w:rsid w:val="006A726C"/>
    <w:rsid w:val="006C7961"/>
    <w:rsid w:val="006D6B13"/>
    <w:rsid w:val="006E5C7E"/>
    <w:rsid w:val="006F1EC8"/>
    <w:rsid w:val="006F6337"/>
    <w:rsid w:val="00700450"/>
    <w:rsid w:val="00707616"/>
    <w:rsid w:val="0073699E"/>
    <w:rsid w:val="0078230A"/>
    <w:rsid w:val="007C7240"/>
    <w:rsid w:val="007D1BEC"/>
    <w:rsid w:val="007E0E8F"/>
    <w:rsid w:val="007F013E"/>
    <w:rsid w:val="007F647B"/>
    <w:rsid w:val="007F6793"/>
    <w:rsid w:val="007F7ED7"/>
    <w:rsid w:val="00810F14"/>
    <w:rsid w:val="008112AE"/>
    <w:rsid w:val="00811354"/>
    <w:rsid w:val="00862F59"/>
    <w:rsid w:val="00875960"/>
    <w:rsid w:val="008B3C70"/>
    <w:rsid w:val="008C041C"/>
    <w:rsid w:val="008D0953"/>
    <w:rsid w:val="008F504A"/>
    <w:rsid w:val="009218D8"/>
    <w:rsid w:val="00956FE3"/>
    <w:rsid w:val="00997E44"/>
    <w:rsid w:val="009D686D"/>
    <w:rsid w:val="00A00CA0"/>
    <w:rsid w:val="00A2124F"/>
    <w:rsid w:val="00A866A7"/>
    <w:rsid w:val="00A94FC5"/>
    <w:rsid w:val="00A96DE0"/>
    <w:rsid w:val="00A97DC8"/>
    <w:rsid w:val="00AA52FB"/>
    <w:rsid w:val="00AB5470"/>
    <w:rsid w:val="00B02C54"/>
    <w:rsid w:val="00B0371F"/>
    <w:rsid w:val="00B112A9"/>
    <w:rsid w:val="00B46607"/>
    <w:rsid w:val="00B72A1B"/>
    <w:rsid w:val="00B92082"/>
    <w:rsid w:val="00B941E7"/>
    <w:rsid w:val="00BA3559"/>
    <w:rsid w:val="00BB7B6C"/>
    <w:rsid w:val="00BF6D6F"/>
    <w:rsid w:val="00C03CFA"/>
    <w:rsid w:val="00C223F6"/>
    <w:rsid w:val="00C304B2"/>
    <w:rsid w:val="00C51898"/>
    <w:rsid w:val="00C522B5"/>
    <w:rsid w:val="00C63BF0"/>
    <w:rsid w:val="00C93378"/>
    <w:rsid w:val="00CA35CC"/>
    <w:rsid w:val="00CB1526"/>
    <w:rsid w:val="00CB171D"/>
    <w:rsid w:val="00CC471F"/>
    <w:rsid w:val="00CD5577"/>
    <w:rsid w:val="00CF7B33"/>
    <w:rsid w:val="00D0050B"/>
    <w:rsid w:val="00D01AB8"/>
    <w:rsid w:val="00D21BDC"/>
    <w:rsid w:val="00D23828"/>
    <w:rsid w:val="00D24F4C"/>
    <w:rsid w:val="00D30E96"/>
    <w:rsid w:val="00D60E97"/>
    <w:rsid w:val="00D973F6"/>
    <w:rsid w:val="00DA49E0"/>
    <w:rsid w:val="00DA7E8B"/>
    <w:rsid w:val="00DB02EF"/>
    <w:rsid w:val="00DC3966"/>
    <w:rsid w:val="00DE12E1"/>
    <w:rsid w:val="00E41338"/>
    <w:rsid w:val="00E41766"/>
    <w:rsid w:val="00E50742"/>
    <w:rsid w:val="00E619BE"/>
    <w:rsid w:val="00E6203A"/>
    <w:rsid w:val="00E70810"/>
    <w:rsid w:val="00E92256"/>
    <w:rsid w:val="00EA5C60"/>
    <w:rsid w:val="00ED1749"/>
    <w:rsid w:val="00EE3485"/>
    <w:rsid w:val="00EE4FA4"/>
    <w:rsid w:val="00EE54D4"/>
    <w:rsid w:val="00EF7D3E"/>
    <w:rsid w:val="00F5799F"/>
    <w:rsid w:val="00F6221D"/>
    <w:rsid w:val="00F76D20"/>
    <w:rsid w:val="00F85E1D"/>
    <w:rsid w:val="00FA3483"/>
    <w:rsid w:val="00FA613C"/>
    <w:rsid w:val="00FD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26F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3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50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0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0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0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0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0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0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0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0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0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50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0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0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0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50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0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0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0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FB3B5-54A1-4F3F-AB12-C9912C20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 de febrero - Día Mundial del cáncer</vt:lpstr>
    </vt:vector>
  </TitlesOfParts>
  <Company>Microsoft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de febrero - Día Mundial del cáncer</dc:title>
  <dc:creator>Laptop</dc:creator>
  <cp:lastModifiedBy>Usuario</cp:lastModifiedBy>
  <cp:revision>6</cp:revision>
  <cp:lastPrinted>2013-03-20T23:03:00Z</cp:lastPrinted>
  <dcterms:created xsi:type="dcterms:W3CDTF">2013-11-15T12:18:00Z</dcterms:created>
  <dcterms:modified xsi:type="dcterms:W3CDTF">2013-11-15T12:54:00Z</dcterms:modified>
</cp:coreProperties>
</file>